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olor w:val="000000"/>
          <w:kern w:val="0"/>
          <w:sz w:val="32"/>
          <w:szCs w:val="32"/>
          <w:u w:val="none"/>
          <w:lang w:val="en-US" w:eastAsia="zh-CN" w:bidi="ar"/>
        </w:rPr>
      </w:pPr>
    </w:p>
    <w:p>
      <w:pPr>
        <w:jc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负责人需要聘任的哲学社会科学研究机构名单</w:t>
      </w:r>
    </w:p>
    <w:p>
      <w:pPr>
        <w:jc w:val="center"/>
        <w:rPr>
          <w:rFonts w:hint="eastAsia" w:ascii="仿宋" w:hAnsi="仿宋" w:eastAsia="仿宋" w:cs="仿宋"/>
          <w:i w:val="0"/>
          <w:color w:val="000000"/>
          <w:kern w:val="0"/>
          <w:sz w:val="32"/>
          <w:szCs w:val="32"/>
          <w:u w:val="none"/>
          <w:lang w:val="en-US" w:eastAsia="zh-CN" w:bidi="ar"/>
        </w:rPr>
      </w:pPr>
    </w:p>
    <w:tbl>
      <w:tblPr>
        <w:tblStyle w:val="3"/>
        <w:tblW w:w="10204" w:type="dxa"/>
        <w:jc w:val="center"/>
        <w:tblInd w:w="-9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1"/>
        <w:gridCol w:w="1471"/>
        <w:gridCol w:w="3542"/>
        <w:gridCol w:w="4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机构范围</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机构类别</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边疆考古研究中心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理论法学研究中心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中国国有经济研究中心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教育部人文社会科学重点研究基地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哲学基础理论研究中心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司法文明协同创新中心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出土文献与中国古代文明研究协同创新中心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独立建制、具有专职管理人员和研究生招生及培养等职能的学校哲学社会科学实体研究机构</w:t>
            </w:r>
          </w:p>
        </w:tc>
        <w:tc>
          <w:tcPr>
            <w:tcW w:w="35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独立建制、具有专职管理人员和研究生招生及培养等职能的学校哲学社会科学实体研究机构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古籍研究所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高等教育研究所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其他省部级哲学社会科学研究机构</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国家文物局重点科研基地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体质人类学与分子考古学科研基地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东北亚区域研究协同创新中心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东北亚国际语言文化研究基地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高校外语教育研究基地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吉林省社会科学重点领域研究基地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中国特色社会主义理论研究基地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社会公正与政府治理研究中心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创新管理研究中心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中俄区域合作研究中心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日本侵华史研究中心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廉政研究与教育中心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高句丽渤海研究中心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中国人口老龄化与经济社会发展研究中心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农村发展研究中心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文化遗产保护研究中心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中国文化研究所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中国特色社会主义理论研究中心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东北亚地缘政治经济研究所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残疾人事业发展研究中心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犯罪治理研究中心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东北区域现代农业发展研究中心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劳动关系研究中心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中国地方政府创新研究中心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吉林省人文社科重点研究基地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中国古文字研究中心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学校其他哲学社会科学研究机构</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创新创业研究院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校级重点研究基地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中日经济共同研究中心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国际关系研究所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南方研究院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全面依法治国重大问题研究中心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边疆考古与中国文化认同协同创新中心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国家治理协同创新中心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中国外交理论与实践协同创新中心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中国道路与中国化马克思主义协同创新中心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校级2011协同创新中心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公民道德与社会风尚协同创新中心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东北历史与疆域研究中心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知识经济研究中心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信息资源研究中心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中国当代马克思主义文艺学研究中心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民族研究所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农村金融研究中心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中国科技政策与科技管理研究中心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吉林省长吉图开发开放研究中心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吉林大学-加州州立大学中美比较管理联合研究中心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俄罗斯现代化研究中心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日本研究所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俄罗斯研究所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朝鲜韩国研究所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蒙古研究所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中国区域社会史研究中心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体育与健康管理研究中心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美国研究所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中国企业社会风险与责任研究中心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认知美学与美育研究中心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信息化与信息管理研究中心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吉林大学（中国）—西蒙菲莎大学（加拿大）生物考古学联合实验室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北极研究所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东北亚国际语言文化研究中心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高校外语教育研究中心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吉林大学—中国（海南）改革发展研究院经济政策定量研究中心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中以创新创业合作研究中心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大数据管理研究中心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司法数据应用研究中心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妇幼保障研究中心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高清海哲学思想研究中心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白求恩精神研究中心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中国特色社会主义政治经济学研究中心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“一带一路”研究中心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校级非实体研究机构</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量化金融研究中心</w:t>
            </w:r>
          </w:p>
        </w:tc>
      </w:tr>
    </w:tbl>
    <w:p>
      <w:pPr>
        <w:rPr>
          <w:rFonts w:hint="eastAsia" w:ascii="仿宋" w:hAnsi="仿宋" w:eastAsia="仿宋" w:cs="仿宋"/>
          <w:sz w:val="28"/>
          <w:szCs w:val="36"/>
          <w:lang w:eastAsia="zh-CN"/>
        </w:rPr>
      </w:pPr>
      <w:r>
        <w:rPr>
          <w:rFonts w:hint="eastAsia" w:ascii="仿宋" w:hAnsi="仿宋" w:eastAsia="仿宋" w:cs="仿宋"/>
          <w:sz w:val="28"/>
          <w:szCs w:val="36"/>
          <w:lang w:eastAsia="zh-CN"/>
        </w:rPr>
        <w:t>注：依托学校建设或以学校为主要建设单位的其他省部级哲学社会科学研究机构，</w:t>
      </w:r>
      <w:bookmarkStart w:id="0" w:name="_GoBack"/>
      <w:bookmarkEnd w:id="0"/>
      <w:r>
        <w:rPr>
          <w:rFonts w:hint="eastAsia" w:ascii="仿宋" w:hAnsi="仿宋" w:eastAsia="仿宋" w:cs="仿宋"/>
          <w:sz w:val="28"/>
          <w:szCs w:val="36"/>
          <w:lang w:eastAsia="zh-CN"/>
        </w:rPr>
        <w:t>独立建制、具有专职管理人员和研究生招生及培养等职能的学校哲学社会科学实体研究机构，学校其他哲学社会科学研究机构业务正职人选的推荐和聘任工作在学校完成对研究机构评估工作之后另行安排。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2139E"/>
    <w:rsid w:val="3F92139E"/>
    <w:rsid w:val="467D39A6"/>
    <w:rsid w:val="5A1E0059"/>
    <w:rsid w:val="5CCF4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2018-03-04T08:04:00Z</dcterms:created>
  <dc:creator>Administrator</dc:creator>
  <cp:lastModifiedBy>边城倦客</cp:lastModifiedBy>
  <dcterms:modified xsi:type="dcterms:W3CDTF">2018-04-28T08:55:17Z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